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F7E6" w14:textId="22033FE1" w:rsidR="00BF0398" w:rsidRDefault="00DE3581" w:rsidP="00DE35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3581">
        <w:rPr>
          <w:rFonts w:ascii="Arial" w:hAnsi="Arial" w:cs="Arial"/>
          <w:b/>
          <w:sz w:val="24"/>
          <w:szCs w:val="24"/>
        </w:rPr>
        <w:t>Prova de conhecimentos específicos do PPGCA - TURMA 2021</w:t>
      </w:r>
    </w:p>
    <w:p w14:paraId="7EC2ED85" w14:textId="77777777" w:rsidR="00256EA1" w:rsidRDefault="00256EA1" w:rsidP="00256E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3581">
        <w:rPr>
          <w:rFonts w:ascii="Arial" w:hAnsi="Arial" w:cs="Arial"/>
          <w:b/>
          <w:sz w:val="24"/>
          <w:szCs w:val="24"/>
        </w:rPr>
        <w:t>EDITAL 002/2021-PPGCA/UNIFAP, DE 23 DE ABRIL DE 2021.</w:t>
      </w:r>
    </w:p>
    <w:p w14:paraId="4E12C940" w14:textId="77777777" w:rsidR="00256EA1" w:rsidRPr="00DE3581" w:rsidRDefault="00256EA1" w:rsidP="00DE35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FAFED3" w14:textId="59044190" w:rsidR="006E6552" w:rsidRPr="008466FA" w:rsidRDefault="007601DC" w:rsidP="008466FA">
      <w:pPr>
        <w:pStyle w:val="PargrafodaLista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De acordo com o artigo “</w:t>
      </w:r>
      <w:proofErr w:type="spellStart"/>
      <w:r w:rsidR="00076377" w:rsidRPr="008466FA">
        <w:rPr>
          <w:rFonts w:ascii="Arial" w:hAnsi="Arial" w:cs="Arial"/>
          <w:sz w:val="24"/>
          <w:szCs w:val="24"/>
        </w:rPr>
        <w:t>Development</w:t>
      </w:r>
      <w:proofErr w:type="spellEnd"/>
      <w:r w:rsidR="00076377" w:rsidRPr="008466FA">
        <w:rPr>
          <w:rFonts w:ascii="Arial" w:hAnsi="Arial" w:cs="Arial"/>
          <w:sz w:val="24"/>
          <w:szCs w:val="24"/>
        </w:rPr>
        <w:t xml:space="preserve"> of Green </w:t>
      </w:r>
      <w:proofErr w:type="spellStart"/>
      <w:r w:rsidR="00076377" w:rsidRPr="008466FA">
        <w:rPr>
          <w:rFonts w:ascii="Arial" w:hAnsi="Arial" w:cs="Arial"/>
          <w:sz w:val="24"/>
          <w:szCs w:val="24"/>
        </w:rPr>
        <w:t>Biorefinery</w:t>
      </w:r>
      <w:proofErr w:type="spellEnd"/>
      <w:r w:rsidR="00076377" w:rsidRPr="008466FA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076377" w:rsidRPr="008466FA">
        <w:rPr>
          <w:rFonts w:ascii="Arial" w:hAnsi="Arial" w:cs="Arial"/>
          <w:sz w:val="24"/>
          <w:szCs w:val="24"/>
        </w:rPr>
        <w:t>BiomassUtilization</w:t>
      </w:r>
      <w:proofErr w:type="spellEnd"/>
      <w:r w:rsidR="00076377" w:rsidRPr="008466FA">
        <w:rPr>
          <w:rFonts w:ascii="Arial" w:hAnsi="Arial" w:cs="Arial"/>
          <w:sz w:val="24"/>
          <w:szCs w:val="24"/>
        </w:rPr>
        <w:t>: A Review</w:t>
      </w:r>
      <w:r w:rsidR="00920296" w:rsidRPr="008466FA">
        <w:rPr>
          <w:rFonts w:ascii="Arial" w:hAnsi="Arial" w:cs="Arial"/>
          <w:sz w:val="24"/>
          <w:szCs w:val="24"/>
        </w:rPr>
        <w:t>”</w:t>
      </w:r>
      <w:r w:rsidR="00076377" w:rsidRPr="008466FA">
        <w:rPr>
          <w:rFonts w:ascii="Arial" w:hAnsi="Arial" w:cs="Arial"/>
          <w:sz w:val="24"/>
          <w:szCs w:val="24"/>
        </w:rPr>
        <w:t xml:space="preserve"> </w:t>
      </w:r>
      <w:r w:rsidR="00920296" w:rsidRPr="008466FA">
        <w:rPr>
          <w:rFonts w:ascii="Arial" w:hAnsi="Arial" w:cs="Arial"/>
          <w:sz w:val="24"/>
          <w:szCs w:val="24"/>
        </w:rPr>
        <w:t>(</w:t>
      </w:r>
      <w:r w:rsidR="001635E7" w:rsidRPr="008466FA">
        <w:rPr>
          <w:rFonts w:ascii="Arial" w:hAnsi="Arial" w:cs="Arial"/>
          <w:sz w:val="24"/>
          <w:szCs w:val="24"/>
        </w:rPr>
        <w:t xml:space="preserve">Xiu </w:t>
      </w:r>
      <w:proofErr w:type="spellStart"/>
      <w:r w:rsidR="008E0B2E" w:rsidRPr="008466FA">
        <w:rPr>
          <w:rFonts w:ascii="Arial" w:hAnsi="Arial" w:cs="Arial"/>
          <w:sz w:val="24"/>
          <w:szCs w:val="24"/>
        </w:rPr>
        <w:t>Shahbazi</w:t>
      </w:r>
      <w:proofErr w:type="spellEnd"/>
      <w:r w:rsidR="00314C88" w:rsidRPr="008466FA">
        <w:rPr>
          <w:rFonts w:ascii="Arial" w:hAnsi="Arial" w:cs="Arial"/>
          <w:sz w:val="24"/>
          <w:szCs w:val="24"/>
        </w:rPr>
        <w:t>, 2015</w:t>
      </w:r>
      <w:r w:rsidR="00920296" w:rsidRPr="008466FA">
        <w:rPr>
          <w:rFonts w:ascii="Arial" w:hAnsi="Arial" w:cs="Arial"/>
          <w:sz w:val="24"/>
          <w:szCs w:val="24"/>
        </w:rPr>
        <w:t>)</w:t>
      </w:r>
      <w:r w:rsidR="006A4404" w:rsidRPr="008466FA">
        <w:rPr>
          <w:rFonts w:ascii="Arial" w:hAnsi="Arial" w:cs="Arial"/>
          <w:sz w:val="24"/>
          <w:szCs w:val="24"/>
        </w:rPr>
        <w:t>.</w:t>
      </w:r>
      <w:r w:rsidR="00920296" w:rsidRPr="008466FA">
        <w:rPr>
          <w:rFonts w:ascii="Arial" w:hAnsi="Arial" w:cs="Arial"/>
          <w:sz w:val="24"/>
          <w:szCs w:val="24"/>
        </w:rPr>
        <w:t xml:space="preserve"> </w:t>
      </w:r>
      <w:r w:rsidR="006E6552" w:rsidRPr="008466FA">
        <w:rPr>
          <w:rFonts w:ascii="Arial" w:hAnsi="Arial" w:cs="Arial"/>
          <w:sz w:val="24"/>
          <w:szCs w:val="24"/>
        </w:rPr>
        <w:t xml:space="preserve">Contraste as refinarias convencionais de petróleo com as </w:t>
      </w:r>
      <w:proofErr w:type="spellStart"/>
      <w:r w:rsidR="006E6552" w:rsidRPr="008466FA">
        <w:rPr>
          <w:rFonts w:ascii="Arial" w:hAnsi="Arial" w:cs="Arial"/>
          <w:sz w:val="24"/>
          <w:szCs w:val="24"/>
        </w:rPr>
        <w:t>biorrefinarias</w:t>
      </w:r>
      <w:proofErr w:type="spellEnd"/>
      <w:r w:rsidR="006E6552" w:rsidRPr="008466FA">
        <w:rPr>
          <w:rFonts w:ascii="Arial" w:hAnsi="Arial" w:cs="Arial"/>
          <w:sz w:val="24"/>
          <w:szCs w:val="24"/>
        </w:rPr>
        <w:t xml:space="preserve">. </w:t>
      </w:r>
    </w:p>
    <w:p w14:paraId="370EA817" w14:textId="2F6AF96C" w:rsidR="006E6552" w:rsidRPr="008466FA" w:rsidRDefault="006E6552" w:rsidP="008466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CE753" w14:textId="77777777" w:rsidR="008466FA" w:rsidRDefault="006E6552" w:rsidP="008466F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6FA">
        <w:rPr>
          <w:rFonts w:ascii="Arial" w:hAnsi="Arial" w:cs="Arial"/>
          <w:color w:val="000000" w:themeColor="text1"/>
          <w:sz w:val="24"/>
          <w:szCs w:val="24"/>
        </w:rPr>
        <w:t>Considerando o artigo “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Innate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antipredator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behavior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promote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infection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in fish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even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in the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absence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predators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>” (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Mikheev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et al., 2020), explique o que seria o </w:t>
      </w:r>
      <w:r w:rsidRPr="008466FA">
        <w:rPr>
          <w:rFonts w:ascii="Arial" w:eastAsia="BaskervilleMTStd-Regular" w:hAnsi="Arial" w:cs="Arial"/>
          <w:color w:val="000000" w:themeColor="text1"/>
          <w:sz w:val="24"/>
          <w:szCs w:val="24"/>
        </w:rPr>
        <w:t>“</w:t>
      </w:r>
      <w:proofErr w:type="spellStart"/>
      <w:r w:rsidRPr="008466FA">
        <w:rPr>
          <w:rFonts w:ascii="Arial" w:eastAsia="BaskervilleMTStd-Regular" w:hAnsi="Arial" w:cs="Arial"/>
          <w:color w:val="000000" w:themeColor="text1"/>
          <w:sz w:val="24"/>
          <w:szCs w:val="24"/>
        </w:rPr>
        <w:t>ghost</w:t>
      </w:r>
      <w:proofErr w:type="spellEnd"/>
      <w:r w:rsidRPr="008466FA">
        <w:rPr>
          <w:rFonts w:ascii="Arial" w:eastAsia="BaskervilleMTStd-Regular" w:hAnsi="Arial" w:cs="Arial"/>
          <w:color w:val="000000" w:themeColor="text1"/>
          <w:sz w:val="24"/>
          <w:szCs w:val="24"/>
        </w:rPr>
        <w:t xml:space="preserve"> of </w:t>
      </w:r>
      <w:proofErr w:type="spellStart"/>
      <w:r w:rsidRPr="008466FA">
        <w:rPr>
          <w:rFonts w:ascii="Arial" w:eastAsia="BaskervilleMTStd-Regular" w:hAnsi="Arial" w:cs="Arial"/>
          <w:color w:val="000000" w:themeColor="text1"/>
          <w:sz w:val="24"/>
          <w:szCs w:val="24"/>
        </w:rPr>
        <w:t>predation</w:t>
      </w:r>
      <w:proofErr w:type="spellEnd"/>
      <w:r w:rsidRPr="008466FA">
        <w:rPr>
          <w:rFonts w:ascii="Arial" w:eastAsia="BaskervilleMTStd-Regular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66FA">
        <w:rPr>
          <w:rFonts w:ascii="Arial" w:eastAsia="BaskervilleMTStd-Regular" w:hAnsi="Arial" w:cs="Arial"/>
          <w:color w:val="000000" w:themeColor="text1"/>
          <w:sz w:val="24"/>
          <w:szCs w:val="24"/>
        </w:rPr>
        <w:t>past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" e como esse fenômeno influencia no comportamento antiparasitário e </w:t>
      </w:r>
      <w:proofErr w:type="spellStart"/>
      <w:r w:rsidRPr="008466FA">
        <w:rPr>
          <w:rFonts w:ascii="Arial" w:hAnsi="Arial" w:cs="Arial"/>
          <w:color w:val="000000" w:themeColor="text1"/>
          <w:sz w:val="24"/>
          <w:szCs w:val="24"/>
        </w:rPr>
        <w:t>antipredatório</w:t>
      </w:r>
      <w:proofErr w:type="spellEnd"/>
      <w:r w:rsidRPr="008466FA">
        <w:rPr>
          <w:rFonts w:ascii="Arial" w:hAnsi="Arial" w:cs="Arial"/>
          <w:color w:val="000000" w:themeColor="text1"/>
          <w:sz w:val="24"/>
          <w:szCs w:val="24"/>
        </w:rPr>
        <w:t xml:space="preserve"> em animais.</w:t>
      </w:r>
    </w:p>
    <w:p w14:paraId="6E930538" w14:textId="7BC5C1E8" w:rsidR="008466FA" w:rsidRPr="008466FA" w:rsidRDefault="008466FA" w:rsidP="008466F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FFF2E" w14:textId="77777777" w:rsidR="008466FA" w:rsidRPr="008466FA" w:rsidRDefault="008466FA" w:rsidP="008466FA">
      <w:pPr>
        <w:pStyle w:val="Pargrafoda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6DDA6D" w14:textId="59A2C590" w:rsidR="007348CA" w:rsidRDefault="006E6552" w:rsidP="008466FA">
      <w:pPr>
        <w:pStyle w:val="PargrafodaLista"/>
        <w:numPr>
          <w:ilvl w:val="0"/>
          <w:numId w:val="10"/>
        </w:numPr>
        <w:spacing w:line="360" w:lineRule="auto"/>
        <w:ind w:left="284" w:hanging="284"/>
        <w:jc w:val="both"/>
        <w:rPr>
          <w:rStyle w:val="Hyperlink"/>
          <w:rFonts w:ascii="Arial" w:hAnsi="Arial" w:cs="Arial"/>
          <w:sz w:val="24"/>
          <w:szCs w:val="24"/>
        </w:rPr>
        <w:sectPr w:rsidR="007348CA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8466FA">
        <w:rPr>
          <w:rFonts w:ascii="Arial" w:hAnsi="Arial" w:cs="Arial"/>
          <w:sz w:val="24"/>
          <w:szCs w:val="24"/>
        </w:rPr>
        <w:t xml:space="preserve">Eric </w:t>
      </w:r>
      <w:proofErr w:type="spellStart"/>
      <w:r w:rsidRPr="008466FA">
        <w:rPr>
          <w:rFonts w:ascii="Arial" w:hAnsi="Arial" w:cs="Arial"/>
          <w:sz w:val="24"/>
          <w:szCs w:val="24"/>
        </w:rPr>
        <w:t>Gorgens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, Matheus Henrique Nunes, Tobias Jackson, David </w:t>
      </w:r>
      <w:proofErr w:type="spellStart"/>
      <w:r w:rsidRPr="008466FA">
        <w:rPr>
          <w:rFonts w:ascii="Arial" w:hAnsi="Arial" w:cs="Arial"/>
          <w:sz w:val="24"/>
          <w:szCs w:val="24"/>
        </w:rPr>
        <w:t>Coomes</w:t>
      </w:r>
      <w:proofErr w:type="spellEnd"/>
      <w:r w:rsidRPr="008466FA">
        <w:rPr>
          <w:rFonts w:ascii="Arial" w:hAnsi="Arial" w:cs="Arial"/>
          <w:sz w:val="24"/>
          <w:szCs w:val="24"/>
        </w:rPr>
        <w:t>, Michael Keller,</w:t>
      </w:r>
      <w:r w:rsidR="008466FA" w:rsidRPr="008466FA">
        <w:rPr>
          <w:rFonts w:ascii="Arial" w:hAnsi="Arial" w:cs="Arial"/>
          <w:sz w:val="24"/>
          <w:szCs w:val="24"/>
        </w:rPr>
        <w:t xml:space="preserve"> </w:t>
      </w:r>
      <w:r w:rsidRPr="008466FA">
        <w:rPr>
          <w:rFonts w:ascii="Arial" w:hAnsi="Arial" w:cs="Arial"/>
          <w:sz w:val="24"/>
          <w:szCs w:val="24"/>
        </w:rPr>
        <w:t xml:space="preserve">Cristiano Rodrigues Reis, Rubén </w:t>
      </w:r>
      <w:proofErr w:type="spellStart"/>
      <w:r w:rsidRPr="008466FA">
        <w:rPr>
          <w:rFonts w:ascii="Arial" w:hAnsi="Arial" w:cs="Arial"/>
          <w:sz w:val="24"/>
          <w:szCs w:val="24"/>
        </w:rPr>
        <w:t>Valbuena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, Jacqueline </w:t>
      </w:r>
      <w:proofErr w:type="spellStart"/>
      <w:r w:rsidRPr="008466FA">
        <w:rPr>
          <w:rFonts w:ascii="Arial" w:hAnsi="Arial" w:cs="Arial"/>
          <w:sz w:val="24"/>
          <w:szCs w:val="24"/>
        </w:rPr>
        <w:t>Rosette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, Danilo </w:t>
      </w:r>
      <w:proofErr w:type="spellStart"/>
      <w:r w:rsidRPr="008466FA">
        <w:rPr>
          <w:rFonts w:ascii="Arial" w:hAnsi="Arial" w:cs="Arial"/>
          <w:sz w:val="24"/>
          <w:szCs w:val="24"/>
        </w:rPr>
        <w:t>Roberti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 Alves de</w:t>
      </w:r>
      <w:r w:rsidR="008466FA" w:rsidRPr="008466FA">
        <w:rPr>
          <w:rFonts w:ascii="Arial" w:hAnsi="Arial" w:cs="Arial"/>
          <w:sz w:val="24"/>
          <w:szCs w:val="24"/>
        </w:rPr>
        <w:t xml:space="preserve"> </w:t>
      </w:r>
      <w:r w:rsidRPr="008466FA">
        <w:rPr>
          <w:rFonts w:ascii="Arial" w:hAnsi="Arial" w:cs="Arial"/>
          <w:sz w:val="24"/>
          <w:szCs w:val="24"/>
        </w:rPr>
        <w:t xml:space="preserve">Almeida, Bruno Gimenez, Roberta Cantinho, </w:t>
      </w:r>
      <w:proofErr w:type="spellStart"/>
      <w:r w:rsidRPr="008466FA">
        <w:rPr>
          <w:rFonts w:ascii="Arial" w:hAnsi="Arial" w:cs="Arial"/>
          <w:sz w:val="24"/>
          <w:szCs w:val="24"/>
        </w:rPr>
        <w:t>Alline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6FA">
        <w:rPr>
          <w:rFonts w:ascii="Arial" w:hAnsi="Arial" w:cs="Arial"/>
          <w:sz w:val="24"/>
          <w:szCs w:val="24"/>
        </w:rPr>
        <w:t>Zagnolli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 Motta, Mauro Assis, Francisca</w:t>
      </w:r>
      <w:r w:rsidR="008466FA" w:rsidRPr="008466FA">
        <w:rPr>
          <w:rFonts w:ascii="Arial" w:hAnsi="Arial" w:cs="Arial"/>
          <w:sz w:val="24"/>
          <w:szCs w:val="24"/>
        </w:rPr>
        <w:t xml:space="preserve"> </w:t>
      </w:r>
      <w:r w:rsidRPr="008466FA">
        <w:rPr>
          <w:rFonts w:ascii="Arial" w:hAnsi="Arial" w:cs="Arial"/>
          <w:sz w:val="24"/>
          <w:szCs w:val="24"/>
        </w:rPr>
        <w:t xml:space="preserve">Rocha de Souza Pereira, Gustavo </w:t>
      </w:r>
      <w:proofErr w:type="spellStart"/>
      <w:r w:rsidRPr="008466FA">
        <w:rPr>
          <w:rFonts w:ascii="Arial" w:hAnsi="Arial" w:cs="Arial"/>
          <w:sz w:val="24"/>
          <w:szCs w:val="24"/>
        </w:rPr>
        <w:t>Spanner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, Niro Higuchi, Jean Pierre </w:t>
      </w:r>
      <w:proofErr w:type="spellStart"/>
      <w:r w:rsidRPr="008466FA">
        <w:rPr>
          <w:rFonts w:ascii="Arial" w:hAnsi="Arial" w:cs="Arial"/>
          <w:sz w:val="24"/>
          <w:szCs w:val="24"/>
        </w:rPr>
        <w:t>Ometto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. </w:t>
      </w:r>
      <w:r w:rsidRPr="008466FA">
        <w:rPr>
          <w:rFonts w:ascii="Arial" w:hAnsi="Arial" w:cs="Arial"/>
          <w:b/>
          <w:bCs/>
          <w:sz w:val="24"/>
          <w:szCs w:val="24"/>
          <w:lang w:val="en-US"/>
        </w:rPr>
        <w:t>Resource</w:t>
      </w:r>
      <w:r w:rsidR="008466FA" w:rsidRPr="008466F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466FA">
        <w:rPr>
          <w:rFonts w:ascii="Arial" w:hAnsi="Arial" w:cs="Arial"/>
          <w:b/>
          <w:bCs/>
          <w:sz w:val="24"/>
          <w:szCs w:val="24"/>
          <w:lang w:val="en-US"/>
        </w:rPr>
        <w:t>availability and disturbance shape maximum tree height across the Amazon.</w:t>
      </w:r>
      <w:r w:rsidRPr="008466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66FA" w:rsidRPr="008466FA">
        <w:rPr>
          <w:rFonts w:ascii="Arial" w:hAnsi="Arial" w:cs="Arial"/>
          <w:sz w:val="24"/>
          <w:szCs w:val="24"/>
          <w:lang w:val="en-US"/>
        </w:rPr>
        <w:t>B</w:t>
      </w:r>
      <w:r w:rsidRPr="008466FA">
        <w:rPr>
          <w:rFonts w:ascii="Arial" w:hAnsi="Arial" w:cs="Arial"/>
          <w:sz w:val="24"/>
          <w:szCs w:val="24"/>
          <w:lang w:val="en-US"/>
        </w:rPr>
        <w:t>ioRxiv</w:t>
      </w:r>
      <w:proofErr w:type="spellEnd"/>
      <w:r w:rsidR="008466FA" w:rsidRPr="008466FA">
        <w:rPr>
          <w:rFonts w:ascii="Arial" w:hAnsi="Arial" w:cs="Arial"/>
          <w:sz w:val="24"/>
          <w:szCs w:val="24"/>
          <w:lang w:val="en-US"/>
        </w:rPr>
        <w:t xml:space="preserve"> </w:t>
      </w:r>
      <w:r w:rsidRPr="008466FA">
        <w:rPr>
          <w:rFonts w:ascii="Arial" w:hAnsi="Arial" w:cs="Arial"/>
          <w:sz w:val="24"/>
          <w:szCs w:val="24"/>
        </w:rPr>
        <w:t xml:space="preserve">2020.05.15.097683; </w:t>
      </w:r>
      <w:proofErr w:type="spellStart"/>
      <w:r w:rsidRPr="008466FA">
        <w:rPr>
          <w:rFonts w:ascii="Arial" w:hAnsi="Arial" w:cs="Arial"/>
          <w:sz w:val="24"/>
          <w:szCs w:val="24"/>
        </w:rPr>
        <w:t>doi</w:t>
      </w:r>
      <w:proofErr w:type="spellEnd"/>
      <w:r w:rsidRPr="008466FA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7348CA" w:rsidRPr="004033EE">
          <w:rPr>
            <w:rStyle w:val="Hyperlink"/>
            <w:rFonts w:ascii="Arial" w:hAnsi="Arial" w:cs="Arial"/>
            <w:sz w:val="24"/>
            <w:szCs w:val="24"/>
          </w:rPr>
          <w:t>https://doi.org/10.1101/2020.05.15.097683</w:t>
        </w:r>
      </w:hyperlink>
      <w:r w:rsidR="007348CA">
        <w:rPr>
          <w:rFonts w:ascii="Arial" w:hAnsi="Arial" w:cs="Arial"/>
          <w:sz w:val="24"/>
          <w:szCs w:val="24"/>
        </w:rPr>
        <w:t xml:space="preserve"> </w:t>
      </w:r>
    </w:p>
    <w:p w14:paraId="132E6E31" w14:textId="4FF760CA" w:rsidR="006E6552" w:rsidRPr="008466FA" w:rsidRDefault="006E6552" w:rsidP="007348CA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5919C9C" w14:textId="77777777" w:rsidR="006E6552" w:rsidRP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 xml:space="preserve">Vários fatores ambientais influenciam a distribuição de grandes árvores (&gt; 70 m de altura) na Amazônia. Escolha a natureza do efeito (positivo ou negativo) e explique o mecanismo do efeito da variável. </w:t>
      </w:r>
    </w:p>
    <w:p w14:paraId="4E31E037" w14:textId="77777777" w:rsidR="006E6552" w:rsidRP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Velocidade do vento: (    )  positivo</w:t>
      </w:r>
      <w:r w:rsidRPr="008466FA">
        <w:rPr>
          <w:rFonts w:ascii="Arial" w:hAnsi="Arial" w:cs="Arial"/>
          <w:sz w:val="24"/>
          <w:szCs w:val="24"/>
        </w:rPr>
        <w:tab/>
        <w:t>(    ) negativo</w:t>
      </w:r>
    </w:p>
    <w:p w14:paraId="6A738C1F" w14:textId="35EF838B" w:rsidR="006E6552" w:rsidRP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CF82B" w14:textId="77777777" w:rsid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Percentual de argila no solo: (    )  positivo</w:t>
      </w:r>
      <w:r w:rsidRPr="008466FA">
        <w:rPr>
          <w:rFonts w:ascii="Arial" w:hAnsi="Arial" w:cs="Arial"/>
          <w:sz w:val="24"/>
          <w:szCs w:val="24"/>
        </w:rPr>
        <w:tab/>
        <w:t>(    ) negativo</w:t>
      </w:r>
    </w:p>
    <w:p w14:paraId="37E989A7" w14:textId="75174272" w:rsidR="006E6552" w:rsidRP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29C25" w14:textId="77777777" w:rsidR="006E6552" w:rsidRP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Radiação solar disponível:  (    )  positivo</w:t>
      </w:r>
      <w:r w:rsidRPr="008466FA">
        <w:rPr>
          <w:rFonts w:ascii="Arial" w:hAnsi="Arial" w:cs="Arial"/>
          <w:sz w:val="24"/>
          <w:szCs w:val="24"/>
        </w:rPr>
        <w:tab/>
        <w:t>(    ) negativo</w:t>
      </w:r>
    </w:p>
    <w:p w14:paraId="4585C59C" w14:textId="40C8F4F1" w:rsidR="006E6552" w:rsidRPr="008466FA" w:rsidRDefault="006E6552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8A53E" w14:textId="77777777" w:rsidR="008466FA" w:rsidRDefault="006E6552" w:rsidP="008466FA">
      <w:pPr>
        <w:pStyle w:val="PargrafodaLista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6EA1">
        <w:rPr>
          <w:rFonts w:ascii="Arial" w:hAnsi="Arial" w:cs="Arial"/>
          <w:sz w:val="24"/>
          <w:szCs w:val="24"/>
        </w:rPr>
        <w:t xml:space="preserve">Com base no texto </w:t>
      </w:r>
      <w:r w:rsidRPr="00256EA1">
        <w:rPr>
          <w:rFonts w:ascii="Arial" w:hAnsi="Arial" w:cs="Arial"/>
          <w:b/>
          <w:bCs/>
          <w:i/>
          <w:iCs/>
          <w:sz w:val="24"/>
          <w:szCs w:val="24"/>
        </w:rPr>
        <w:t>As três emergências que nossa sociedade enfrenta: saúde, biodiversidade e mudanças climáticas</w:t>
      </w:r>
      <w:r w:rsidRPr="00256EA1">
        <w:rPr>
          <w:rFonts w:ascii="Arial" w:hAnsi="Arial" w:cs="Arial"/>
          <w:sz w:val="24"/>
          <w:szCs w:val="24"/>
        </w:rPr>
        <w:t xml:space="preserve"> (ARTAXO, Paulo; 2020), explique as considerações apresentadas pelo autor quando afirma que: “As mudanças climáticas vão muito além do aumento de temperatura”, destacando as consequências para os ecossistemas, bem como para o </w:t>
      </w:r>
      <w:r w:rsidRPr="008466FA">
        <w:rPr>
          <w:rFonts w:ascii="Arial" w:hAnsi="Arial" w:cs="Arial"/>
          <w:sz w:val="24"/>
          <w:szCs w:val="24"/>
        </w:rPr>
        <w:t xml:space="preserve">sistema socioeconômico. Comente sobre as medidas para o enfrentamento </w:t>
      </w:r>
      <w:r w:rsidRPr="008466FA">
        <w:rPr>
          <w:rFonts w:ascii="Arial" w:hAnsi="Arial" w:cs="Arial"/>
          <w:sz w:val="24"/>
          <w:szCs w:val="24"/>
        </w:rPr>
        <w:lastRenderedPageBreak/>
        <w:t>da emergência climática que o Brasil se propôs a adotar quando da ratificação do Acordo de Paris.</w:t>
      </w:r>
    </w:p>
    <w:p w14:paraId="67EC3701" w14:textId="77777777" w:rsidR="000C7AC3" w:rsidRDefault="006E6552" w:rsidP="000C7AC3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C7AC3"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4B463" w14:textId="61BEC4D0" w:rsidR="00023767" w:rsidRDefault="000C7AC3" w:rsidP="000C7AC3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466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14:paraId="6E914F0E" w14:textId="77777777" w:rsidR="000C7AC3" w:rsidRPr="008466FA" w:rsidRDefault="000C7AC3" w:rsidP="000C7AC3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BF00C7A" w14:textId="1EFB065D" w:rsidR="006E6552" w:rsidRPr="00256EA1" w:rsidRDefault="006E6552" w:rsidP="000C7AC3">
      <w:pPr>
        <w:pStyle w:val="PargrafodaLista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6EA1">
        <w:rPr>
          <w:rFonts w:ascii="Arial" w:hAnsi="Arial" w:cs="Arial"/>
          <w:sz w:val="24"/>
          <w:szCs w:val="24"/>
        </w:rPr>
        <w:t>A bioeconomia, que reúne recursos biológicos, biotecnologia, ecossistemas e economia, surgiu como um conceito político de alto nível atraente para a criação, desenvolvimento e revitalização de sistemas econômicos em todo o mundo, fazendo uso de recursos biológicos renováveis de forma sustentável. De acordo com os autores do artigo “</w:t>
      </w:r>
      <w:proofErr w:type="spellStart"/>
      <w:r w:rsidRPr="00256EA1">
        <w:rPr>
          <w:rFonts w:ascii="Arial" w:hAnsi="Arial" w:cs="Arial"/>
          <w:i/>
          <w:iCs/>
          <w:sz w:val="24"/>
          <w:szCs w:val="24"/>
        </w:rPr>
        <w:t>Bioeconomy</w:t>
      </w:r>
      <w:proofErr w:type="spellEnd"/>
      <w:r w:rsidRPr="00256EA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i/>
          <w:iCs/>
          <w:sz w:val="24"/>
          <w:szCs w:val="24"/>
        </w:rPr>
        <w:t>moving</w:t>
      </w:r>
      <w:proofErr w:type="spellEnd"/>
      <w:r w:rsidRPr="00256EA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i/>
          <w:iCs/>
          <w:sz w:val="24"/>
          <w:szCs w:val="24"/>
        </w:rPr>
        <w:t>forward</w:t>
      </w:r>
      <w:proofErr w:type="spellEnd"/>
      <w:r w:rsidRPr="00256EA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i/>
          <w:iCs/>
          <w:sz w:val="24"/>
          <w:szCs w:val="24"/>
        </w:rPr>
        <w:t>step</w:t>
      </w:r>
      <w:proofErr w:type="spellEnd"/>
      <w:r w:rsidRPr="00256EA1">
        <w:rPr>
          <w:rFonts w:ascii="Arial" w:hAnsi="Arial" w:cs="Arial"/>
          <w:i/>
          <w:iCs/>
          <w:sz w:val="24"/>
          <w:szCs w:val="24"/>
        </w:rPr>
        <w:t xml:space="preserve"> by </w:t>
      </w:r>
      <w:proofErr w:type="spellStart"/>
      <w:r w:rsidRPr="00256EA1">
        <w:rPr>
          <w:rFonts w:ascii="Arial" w:hAnsi="Arial" w:cs="Arial"/>
          <w:i/>
          <w:iCs/>
          <w:sz w:val="24"/>
          <w:szCs w:val="24"/>
        </w:rPr>
        <w:t>step</w:t>
      </w:r>
      <w:proofErr w:type="spellEnd"/>
      <w:r w:rsidRPr="00256EA1">
        <w:rPr>
          <w:rFonts w:ascii="Arial" w:hAnsi="Arial" w:cs="Arial"/>
          <w:i/>
          <w:iCs/>
          <w:sz w:val="24"/>
          <w:szCs w:val="24"/>
        </w:rPr>
        <w:t xml:space="preserve"> – A global </w:t>
      </w:r>
      <w:proofErr w:type="spellStart"/>
      <w:r w:rsidRPr="00256EA1">
        <w:rPr>
          <w:rFonts w:ascii="Arial" w:hAnsi="Arial" w:cs="Arial"/>
          <w:i/>
          <w:iCs/>
          <w:sz w:val="24"/>
          <w:szCs w:val="24"/>
        </w:rPr>
        <w:t>journey</w:t>
      </w:r>
      <w:proofErr w:type="spellEnd"/>
      <w:r w:rsidRPr="00256EA1">
        <w:rPr>
          <w:rFonts w:ascii="Arial" w:hAnsi="Arial" w:cs="Arial"/>
          <w:sz w:val="24"/>
          <w:szCs w:val="24"/>
        </w:rPr>
        <w:t xml:space="preserve">”, </w:t>
      </w:r>
      <w:r w:rsidRPr="00256EA1">
        <w:rPr>
          <w:rFonts w:ascii="Arial" w:hAnsi="Arial" w:cs="Arial"/>
          <w:b/>
          <w:bCs/>
          <w:sz w:val="24"/>
          <w:szCs w:val="24"/>
        </w:rPr>
        <w:t>NÃO</w:t>
      </w:r>
      <w:r w:rsidRPr="00256EA1">
        <w:rPr>
          <w:rFonts w:ascii="Arial" w:hAnsi="Arial" w:cs="Arial"/>
          <w:sz w:val="24"/>
          <w:szCs w:val="24"/>
        </w:rPr>
        <w:t xml:space="preserve"> é correto afirmar que:</w:t>
      </w:r>
    </w:p>
    <w:p w14:paraId="031B8641" w14:textId="77777777" w:rsidR="006E6552" w:rsidRPr="000C7AC3" w:rsidRDefault="006E6552" w:rsidP="000C7AC3">
      <w:pPr>
        <w:pStyle w:val="PargrafodaLista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56EA1">
        <w:rPr>
          <w:rFonts w:ascii="Arial" w:hAnsi="Arial" w:cs="Arial"/>
          <w:sz w:val="24"/>
          <w:szCs w:val="24"/>
        </w:rPr>
        <w:t xml:space="preserve">Educação em Bioeconomia, Pensamento Global e </w:t>
      </w:r>
      <w:proofErr w:type="spellStart"/>
      <w:r w:rsidRPr="00256EA1">
        <w:rPr>
          <w:rFonts w:ascii="Arial" w:hAnsi="Arial" w:cs="Arial"/>
          <w:sz w:val="24"/>
          <w:szCs w:val="24"/>
        </w:rPr>
        <w:t>Biodiplomacia</w:t>
      </w:r>
      <w:proofErr w:type="spellEnd"/>
      <w:r w:rsidRPr="00256EA1">
        <w:rPr>
          <w:rFonts w:ascii="Arial" w:hAnsi="Arial" w:cs="Arial"/>
          <w:sz w:val="24"/>
          <w:szCs w:val="24"/>
        </w:rPr>
        <w:t xml:space="preserve"> </w:t>
      </w:r>
      <w:r w:rsidRPr="000C7AC3">
        <w:rPr>
          <w:rFonts w:ascii="Arial" w:hAnsi="Arial" w:cs="Arial"/>
          <w:sz w:val="24"/>
          <w:szCs w:val="24"/>
        </w:rPr>
        <w:t>são três objetivos gerais de bioeconomia.</w:t>
      </w:r>
    </w:p>
    <w:p w14:paraId="51FA2E99" w14:textId="77777777" w:rsidR="006E6552" w:rsidRPr="000C7AC3" w:rsidRDefault="006E6552" w:rsidP="000C7AC3">
      <w:pPr>
        <w:pStyle w:val="PargrafodaLista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t>Um aspecto importante da bioeconomia é apresentar e avaliar novas estratégias e processos tecnológicos, sugerir e selecionar as melhores direções de mudança e desenvolvimento, levando em consideração as especificidades globais, regionais e locais.</w:t>
      </w:r>
    </w:p>
    <w:p w14:paraId="05DA8C43" w14:textId="77777777" w:rsidR="006E6552" w:rsidRPr="000C7AC3" w:rsidRDefault="006E6552" w:rsidP="000C7AC3">
      <w:pPr>
        <w:pStyle w:val="PargrafodaLista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t>A bioeconomia exige novas habilidades e abordagens para resolver simultaneamente vários desafios que ocorrem em diferentes níveis.</w:t>
      </w:r>
    </w:p>
    <w:p w14:paraId="2C43A74E" w14:textId="77777777" w:rsidR="006E6552" w:rsidRPr="000C7AC3" w:rsidRDefault="006E6552" w:rsidP="000C7AC3">
      <w:pPr>
        <w:pStyle w:val="PargrafodaLista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t>A bioeconomia é uma jornada global, pois as jornadas regionais, nacionais ou locais não diferem consideravelmente.</w:t>
      </w:r>
    </w:p>
    <w:p w14:paraId="01C44758" w14:textId="77777777" w:rsidR="000C7AC3" w:rsidRDefault="000C7AC3" w:rsidP="008466F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7AD8B1E8" w14:textId="77777777" w:rsidR="000C7AC3" w:rsidRPr="00256EA1" w:rsidRDefault="00A444E8" w:rsidP="000C7AC3">
      <w:pPr>
        <w:pStyle w:val="PargrafodaLista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56EA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De acordo com o artigo </w:t>
      </w:r>
      <w:proofErr w:type="spellStart"/>
      <w:r w:rsidRPr="00256EA1">
        <w:rPr>
          <w:rFonts w:ascii="Arial" w:eastAsia="Times New Roman" w:hAnsi="Arial" w:cs="Arial"/>
          <w:sz w:val="24"/>
          <w:szCs w:val="24"/>
          <w:lang w:eastAsia="pt-BR"/>
        </w:rPr>
        <w:t>Why</w:t>
      </w:r>
      <w:proofErr w:type="spellEnd"/>
      <w:r w:rsidRPr="00256E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56EA1">
        <w:rPr>
          <w:rFonts w:ascii="Arial" w:eastAsia="Times New Roman" w:hAnsi="Arial" w:cs="Arial"/>
          <w:sz w:val="24"/>
          <w:szCs w:val="24"/>
          <w:lang w:eastAsia="pt-BR"/>
        </w:rPr>
        <w:t>deforestation</w:t>
      </w:r>
      <w:proofErr w:type="spellEnd"/>
      <w:r w:rsidRPr="00256EA1">
        <w:rPr>
          <w:rFonts w:ascii="Arial" w:eastAsia="Times New Roman" w:hAnsi="Arial" w:cs="Arial"/>
          <w:sz w:val="24"/>
          <w:szCs w:val="24"/>
          <w:lang w:eastAsia="pt-BR"/>
        </w:rPr>
        <w:t xml:space="preserve"> and </w:t>
      </w:r>
      <w:proofErr w:type="spellStart"/>
      <w:r w:rsidRPr="00256EA1">
        <w:rPr>
          <w:rFonts w:ascii="Arial" w:eastAsia="Times New Roman" w:hAnsi="Arial" w:cs="Arial"/>
          <w:sz w:val="24"/>
          <w:szCs w:val="24"/>
          <w:lang w:eastAsia="pt-BR"/>
        </w:rPr>
        <w:t>extinctions</w:t>
      </w:r>
      <w:proofErr w:type="spellEnd"/>
      <w:r w:rsidRPr="00256EA1">
        <w:rPr>
          <w:rFonts w:ascii="Arial" w:eastAsia="Times New Roman" w:hAnsi="Arial" w:cs="Arial"/>
          <w:sz w:val="24"/>
          <w:szCs w:val="24"/>
          <w:lang w:eastAsia="pt-BR"/>
        </w:rPr>
        <w:t xml:space="preserve"> make </w:t>
      </w:r>
      <w:proofErr w:type="spellStart"/>
      <w:r w:rsidRPr="00256EA1">
        <w:rPr>
          <w:rFonts w:ascii="Arial" w:eastAsia="Times New Roman" w:hAnsi="Arial" w:cs="Arial"/>
          <w:sz w:val="24"/>
          <w:szCs w:val="24"/>
          <w:lang w:eastAsia="pt-BR"/>
        </w:rPr>
        <w:t>pandemics</w:t>
      </w:r>
      <w:proofErr w:type="spellEnd"/>
      <w:r w:rsidRPr="00256EA1">
        <w:rPr>
          <w:rFonts w:ascii="Arial" w:eastAsia="Times New Roman" w:hAnsi="Arial" w:cs="Arial"/>
          <w:sz w:val="24"/>
          <w:szCs w:val="24"/>
          <w:lang w:eastAsia="pt-BR"/>
        </w:rPr>
        <w:t xml:space="preserve"> more </w:t>
      </w:r>
      <w:proofErr w:type="spellStart"/>
      <w:r w:rsidRPr="00256EA1">
        <w:rPr>
          <w:rFonts w:ascii="Arial" w:eastAsia="Times New Roman" w:hAnsi="Arial" w:cs="Arial"/>
          <w:sz w:val="24"/>
          <w:szCs w:val="24"/>
          <w:lang w:eastAsia="pt-BR"/>
        </w:rPr>
        <w:t>likely</w:t>
      </w:r>
      <w:proofErr w:type="spellEnd"/>
      <w:r w:rsidRPr="00256EA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256EA1">
        <w:rPr>
          <w:rFonts w:ascii="Arial" w:eastAsia="Times New Roman" w:hAnsi="Arial" w:cs="Arial"/>
          <w:sz w:val="24"/>
          <w:szCs w:val="24"/>
          <w:lang w:eastAsia="pt-BR"/>
        </w:rPr>
        <w:t>Tollefson</w:t>
      </w:r>
      <w:proofErr w:type="spellEnd"/>
      <w:r w:rsidRPr="00256EA1">
        <w:rPr>
          <w:rFonts w:ascii="Arial" w:eastAsia="Times New Roman" w:hAnsi="Arial" w:cs="Arial"/>
          <w:sz w:val="24"/>
          <w:szCs w:val="24"/>
          <w:lang w:eastAsia="pt-BR"/>
        </w:rPr>
        <w:t xml:space="preserve"> (2020)</w:t>
      </w:r>
      <w:r w:rsidRPr="00256EA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quais são as relações entre o desmatamento e as pandemias?</w:t>
      </w:r>
      <w:r w:rsidR="00FE53DA" w:rsidRPr="00256EA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ab/>
      </w:r>
    </w:p>
    <w:p w14:paraId="1A1A34D0" w14:textId="77777777" w:rsidR="000C7AC3" w:rsidRDefault="000C7AC3" w:rsidP="000C7AC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CF707" w14:textId="6A1A9D87" w:rsidR="00CD61D2" w:rsidRPr="000C7AC3" w:rsidRDefault="00A444E8" w:rsidP="000C7AC3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8466FA">
        <w:rPr>
          <w:rFonts w:ascii="Arial" w:hAnsi="Arial" w:cs="Arial"/>
          <w:sz w:val="24"/>
          <w:szCs w:val="24"/>
        </w:rPr>
        <w:t xml:space="preserve"> </w:t>
      </w:r>
    </w:p>
    <w:p w14:paraId="2604CD11" w14:textId="3B30F0FD" w:rsidR="00A444E8" w:rsidRPr="00256EA1" w:rsidRDefault="00A444E8" w:rsidP="000C7AC3">
      <w:pPr>
        <w:pStyle w:val="PargrafodaLista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6EA1">
        <w:rPr>
          <w:rFonts w:ascii="Arial" w:hAnsi="Arial" w:cs="Arial"/>
          <w:sz w:val="24"/>
          <w:szCs w:val="24"/>
        </w:rPr>
        <w:t>O artigo “</w:t>
      </w:r>
      <w:r w:rsidRPr="00256EA1">
        <w:rPr>
          <w:rFonts w:ascii="Arial" w:hAnsi="Arial" w:cs="Arial"/>
          <w:b/>
          <w:bCs/>
          <w:sz w:val="24"/>
          <w:szCs w:val="24"/>
        </w:rPr>
        <w:t xml:space="preserve">A review on the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complementarity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renewable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energy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sources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Concept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metrics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application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 and future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research</w:t>
      </w:r>
      <w:proofErr w:type="spellEnd"/>
      <w:r w:rsidRPr="00256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b/>
          <w:bCs/>
          <w:sz w:val="24"/>
          <w:szCs w:val="24"/>
        </w:rPr>
        <w:t>directions</w:t>
      </w:r>
      <w:proofErr w:type="spellEnd"/>
      <w:r w:rsidRPr="00256EA1">
        <w:rPr>
          <w:rFonts w:ascii="Arial" w:hAnsi="Arial" w:cs="Arial"/>
          <w:sz w:val="24"/>
          <w:szCs w:val="24"/>
        </w:rPr>
        <w:t xml:space="preserve">” apresenta uma revisão abrangente de estudos que investigaram, analisaram, quantificaram e utilizaram o efeito da complementaridade temporal, espacial e espaço-temporal entre fontes renováveis de energia. A figura abaixo foi retirada do artigo e indica cinco situações diferentes (gráficos A-E) onde as fontes renováveis apresentam diferentes níveis de complementaridade (expresso como coeficiente de correlação - CC). Para esta situação idealizada: </w:t>
      </w:r>
      <w:r w:rsidRPr="00256EA1">
        <w:rPr>
          <w:rFonts w:ascii="Arial" w:hAnsi="Arial" w:cs="Arial"/>
          <w:b/>
          <w:bCs/>
          <w:sz w:val="24"/>
          <w:szCs w:val="24"/>
        </w:rPr>
        <w:t>a)</w:t>
      </w:r>
      <w:r w:rsidRPr="00256EA1">
        <w:rPr>
          <w:rFonts w:ascii="Arial" w:hAnsi="Arial" w:cs="Arial"/>
          <w:sz w:val="24"/>
          <w:szCs w:val="24"/>
        </w:rPr>
        <w:t xml:space="preserve"> informe quais gráficos indicam que as fontes de energia apresentadas são capazes de atender a carga? </w:t>
      </w:r>
      <w:r w:rsidRPr="00256EA1">
        <w:rPr>
          <w:rFonts w:ascii="Arial" w:hAnsi="Arial" w:cs="Arial"/>
          <w:b/>
          <w:bCs/>
          <w:sz w:val="24"/>
          <w:szCs w:val="24"/>
        </w:rPr>
        <w:t>b)</w:t>
      </w:r>
      <w:r w:rsidRPr="00256EA1">
        <w:rPr>
          <w:rFonts w:ascii="Arial" w:hAnsi="Arial" w:cs="Arial"/>
          <w:sz w:val="24"/>
          <w:szCs w:val="24"/>
        </w:rPr>
        <w:t xml:space="preserve"> Nos casos em que os gráficos indicam que as fontes de energia não são capazes de atender a carga quais estratégias poderiam ser adotadas para garantir o atendimento?</w:t>
      </w:r>
    </w:p>
    <w:p w14:paraId="213BC8B0" w14:textId="77777777" w:rsidR="00A444E8" w:rsidRPr="008466FA" w:rsidRDefault="00A444E8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6FA">
        <w:rPr>
          <w:noProof/>
        </w:rPr>
        <w:lastRenderedPageBreak/>
        <w:drawing>
          <wp:inline distT="0" distB="0" distL="0" distR="0" wp14:anchorId="6C0A5A40" wp14:editId="56B99ED3">
            <wp:extent cx="5191125" cy="524814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054" cy="525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5799" w14:textId="38EAF04D" w:rsidR="00A444E8" w:rsidRPr="008466FA" w:rsidRDefault="00A444E8" w:rsidP="008466F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66F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C7AC3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</w:t>
      </w:r>
    </w:p>
    <w:p w14:paraId="60CA8817" w14:textId="5824DDD0" w:rsidR="00A444E8" w:rsidRPr="00256EA1" w:rsidRDefault="00A444E8" w:rsidP="000C7AC3">
      <w:pPr>
        <w:pStyle w:val="PargrafodaLista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6EA1">
        <w:rPr>
          <w:rFonts w:ascii="Arial" w:hAnsi="Arial" w:cs="Arial"/>
          <w:sz w:val="24"/>
          <w:szCs w:val="24"/>
        </w:rPr>
        <w:t xml:space="preserve">A crise gerada pela pandemia do COVID-19 é uma questão de saúde internacional, um desastre com graves impactos na saúde e nos negócios. </w:t>
      </w:r>
      <w:r w:rsidR="00AF268F" w:rsidRPr="00256EA1">
        <w:rPr>
          <w:rFonts w:ascii="Arial" w:hAnsi="Arial" w:cs="Arial"/>
          <w:sz w:val="24"/>
          <w:szCs w:val="24"/>
        </w:rPr>
        <w:t xml:space="preserve"> </w:t>
      </w:r>
      <w:r w:rsidRPr="00256EA1">
        <w:rPr>
          <w:rFonts w:ascii="Arial" w:hAnsi="Arial" w:cs="Arial"/>
          <w:sz w:val="24"/>
          <w:szCs w:val="24"/>
        </w:rPr>
        <w:t>A pandemia do COVID-19 pôde melhorar a qualidade do ar reduzindo as emissões de carbono que levarão a uma melhoria da saúde ambiental.</w:t>
      </w:r>
    </w:p>
    <w:p w14:paraId="54D3BAB6" w14:textId="77777777" w:rsidR="00A444E8" w:rsidRPr="00256EA1" w:rsidRDefault="00A444E8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EA1">
        <w:rPr>
          <w:rFonts w:ascii="Arial" w:hAnsi="Arial" w:cs="Arial"/>
          <w:sz w:val="24"/>
          <w:szCs w:val="24"/>
        </w:rPr>
        <w:t>Analisando as frases extraídas do texto “</w:t>
      </w:r>
      <w:proofErr w:type="spellStart"/>
      <w:r w:rsidRPr="00256EA1">
        <w:rPr>
          <w:rFonts w:ascii="Arial" w:hAnsi="Arial" w:cs="Arial"/>
          <w:sz w:val="24"/>
          <w:szCs w:val="24"/>
        </w:rPr>
        <w:t>Coronavirus</w:t>
      </w:r>
      <w:proofErr w:type="spellEnd"/>
      <w:r w:rsidRPr="00256E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sz w:val="24"/>
          <w:szCs w:val="24"/>
        </w:rPr>
        <w:t>pandemic</w:t>
      </w:r>
      <w:proofErr w:type="spellEnd"/>
      <w:r w:rsidRPr="00256EA1">
        <w:rPr>
          <w:rFonts w:ascii="Arial" w:hAnsi="Arial" w:cs="Arial"/>
          <w:sz w:val="24"/>
          <w:szCs w:val="24"/>
        </w:rPr>
        <w:t xml:space="preserve"> (COVID</w:t>
      </w:r>
      <w:r w:rsidRPr="00256EA1">
        <w:rPr>
          <w:rFonts w:ascii="Cambria Math" w:hAnsi="Cambria Math" w:cs="Cambria Math"/>
          <w:sz w:val="24"/>
          <w:szCs w:val="24"/>
        </w:rPr>
        <w:t>‑</w:t>
      </w:r>
      <w:r w:rsidRPr="00256EA1">
        <w:rPr>
          <w:rFonts w:ascii="Arial" w:hAnsi="Arial" w:cs="Arial"/>
          <w:sz w:val="24"/>
          <w:szCs w:val="24"/>
        </w:rPr>
        <w:t xml:space="preserve">19) and its natural </w:t>
      </w:r>
      <w:proofErr w:type="spellStart"/>
      <w:r w:rsidRPr="00256EA1">
        <w:rPr>
          <w:rFonts w:ascii="Arial" w:hAnsi="Arial" w:cs="Arial"/>
          <w:sz w:val="24"/>
          <w:szCs w:val="24"/>
        </w:rPr>
        <w:t>environmental</w:t>
      </w:r>
      <w:proofErr w:type="spellEnd"/>
      <w:r w:rsidRPr="00256E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EA1">
        <w:rPr>
          <w:rFonts w:ascii="Arial" w:hAnsi="Arial" w:cs="Arial"/>
          <w:sz w:val="24"/>
          <w:szCs w:val="24"/>
        </w:rPr>
        <w:t>impacts</w:t>
      </w:r>
      <w:proofErr w:type="spellEnd"/>
      <w:r w:rsidRPr="00256EA1">
        <w:rPr>
          <w:rFonts w:ascii="Arial" w:hAnsi="Arial" w:cs="Arial"/>
          <w:sz w:val="24"/>
          <w:szCs w:val="24"/>
        </w:rPr>
        <w:t>” (RUPANI et al., 2020) é correto afirmar:</w:t>
      </w:r>
    </w:p>
    <w:p w14:paraId="59AEC895" w14:textId="77777777" w:rsidR="00A444E8" w:rsidRPr="008466FA" w:rsidRDefault="00A444E8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51EE9F" w14:textId="77777777" w:rsidR="00A444E8" w:rsidRPr="000C7AC3" w:rsidRDefault="00A444E8" w:rsidP="000C7A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lastRenderedPageBreak/>
        <w:t>As influências favoráveis ao meio ambiente ​​irão permanecer como legado da pandemia do COVID-19.</w:t>
      </w:r>
    </w:p>
    <w:p w14:paraId="5F3C1237" w14:textId="5D484EF7" w:rsidR="00A444E8" w:rsidRPr="000C7AC3" w:rsidRDefault="00A444E8" w:rsidP="000C7A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t>Com a diminuição das restrições de viagens, as emissões de CO2 irão retornar aos níveis pré-pandemia.</w:t>
      </w:r>
    </w:p>
    <w:p w14:paraId="1E93BAA0" w14:textId="77777777" w:rsidR="00A444E8" w:rsidRPr="000C7AC3" w:rsidRDefault="00A444E8" w:rsidP="000C7A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t>O impacto do COVID-19 não aumentou a consciência das pessoas sobre as questões ambientais.</w:t>
      </w:r>
    </w:p>
    <w:p w14:paraId="246B3C28" w14:textId="77777777" w:rsidR="00A444E8" w:rsidRPr="000C7AC3" w:rsidRDefault="00A444E8" w:rsidP="000C7A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AC3">
        <w:rPr>
          <w:rFonts w:ascii="Arial" w:hAnsi="Arial" w:cs="Arial"/>
          <w:sz w:val="24"/>
          <w:szCs w:val="24"/>
        </w:rPr>
        <w:t>O impacto do pós-pandemia não dependerá da eficiência e rigor das regras globais de saúde e da revitalização dos negócios e do mercado.</w:t>
      </w:r>
    </w:p>
    <w:p w14:paraId="40EF8E91" w14:textId="77777777" w:rsidR="00A444E8" w:rsidRPr="008466FA" w:rsidRDefault="00A444E8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3848E5" w14:textId="77777777" w:rsidR="00A444E8" w:rsidRPr="008466FA" w:rsidRDefault="00A444E8" w:rsidP="008466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444E8" w:rsidRPr="008466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7B07" w14:textId="77777777" w:rsidR="008B5AD6" w:rsidRDefault="008B5AD6" w:rsidP="000C7AC3">
      <w:pPr>
        <w:spacing w:after="0" w:line="240" w:lineRule="auto"/>
      </w:pPr>
      <w:r>
        <w:separator/>
      </w:r>
    </w:p>
  </w:endnote>
  <w:endnote w:type="continuationSeparator" w:id="0">
    <w:p w14:paraId="13EC1C96" w14:textId="77777777" w:rsidR="008B5AD6" w:rsidRDefault="008B5AD6" w:rsidP="000C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MTStd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0BE5" w14:textId="77777777" w:rsidR="008B5AD6" w:rsidRDefault="008B5AD6" w:rsidP="000C7AC3">
      <w:pPr>
        <w:spacing w:after="0" w:line="240" w:lineRule="auto"/>
      </w:pPr>
      <w:r>
        <w:separator/>
      </w:r>
    </w:p>
  </w:footnote>
  <w:footnote w:type="continuationSeparator" w:id="0">
    <w:p w14:paraId="27FA7B58" w14:textId="77777777" w:rsidR="008B5AD6" w:rsidRDefault="008B5AD6" w:rsidP="000C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F2CC" w14:textId="43DB29F1" w:rsidR="000C7AC3" w:rsidRDefault="007348CA" w:rsidP="000C7AC3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4D51F" wp14:editId="04CCBAF3">
              <wp:simplePos x="0" y="0"/>
              <wp:positionH relativeFrom="column">
                <wp:posOffset>5158740</wp:posOffset>
              </wp:positionH>
              <wp:positionV relativeFrom="paragraph">
                <wp:posOffset>-316230</wp:posOffset>
              </wp:positionV>
              <wp:extent cx="828675" cy="94170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545E3" w14:textId="5F231A4B" w:rsidR="007348CA" w:rsidRDefault="007348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B4A269" wp14:editId="6F50C2F4">
                                <wp:extent cx="694849" cy="926465"/>
                                <wp:effectExtent l="0" t="0" r="0" b="6985"/>
                                <wp:docPr id="20" name="Imagem 20" descr="Logotipo, nome da empres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Logotipo, nome da empresa&#10;&#10;Descrição gerada automa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485" cy="935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4D51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6.2pt;margin-top:-24.9pt;width:65.2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r+FwIAACs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" filled="f" stroked="f" strokeweight=".5pt">
              <v:textbox>
                <w:txbxContent>
                  <w:p w14:paraId="2A5545E3" w14:textId="5F231A4B" w:rsidR="007348CA" w:rsidRDefault="007348CA">
                    <w:r>
                      <w:rPr>
                        <w:noProof/>
                      </w:rPr>
                      <w:drawing>
                        <wp:inline distT="0" distB="0" distL="0" distR="0" wp14:anchorId="60B4A269" wp14:editId="6F50C2F4">
                          <wp:extent cx="694849" cy="926465"/>
                          <wp:effectExtent l="0" t="0" r="0" b="6985"/>
                          <wp:docPr id="20" name="Imagem 20" descr="Logotipo, nome da empres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3" descr="Logotipo, nome da empresa&#10;&#10;Descrição gerada automa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485" cy="935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C7AC3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F9123" wp14:editId="794F14A6">
              <wp:simplePos x="0" y="0"/>
              <wp:positionH relativeFrom="column">
                <wp:posOffset>-518160</wp:posOffset>
              </wp:positionH>
              <wp:positionV relativeFrom="paragraph">
                <wp:posOffset>-316230</wp:posOffset>
              </wp:positionV>
              <wp:extent cx="962025" cy="9620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E188B" w14:textId="51360831" w:rsidR="000C7AC3" w:rsidRDefault="000C7A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E51FA3" wp14:editId="7AD72E86">
                                <wp:extent cx="847725" cy="894080"/>
                                <wp:effectExtent l="0" t="0" r="9525" b="1270"/>
                                <wp:docPr id="21" name="Figura1" descr="Desenho de personagem de desenho animad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Figura1" descr="Desenho de personagem de desenho animado&#10;&#10;Descrição gerada automa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94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F9123" id="Caixa de Texto 2" o:spid="_x0000_s1027" type="#_x0000_t202" style="position:absolute;left:0;text-align:left;margin-left:-40.8pt;margin-top:-24.9pt;width:75.7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KoFQIAADI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" filled="f" stroked="f" strokeweight=".5pt">
              <v:textbox>
                <w:txbxContent>
                  <w:p w14:paraId="59DE188B" w14:textId="51360831" w:rsidR="000C7AC3" w:rsidRDefault="000C7AC3">
                    <w:r>
                      <w:rPr>
                        <w:noProof/>
                      </w:rPr>
                      <w:drawing>
                        <wp:inline distT="0" distB="0" distL="0" distR="0" wp14:anchorId="20E51FA3" wp14:editId="7AD72E86">
                          <wp:extent cx="847725" cy="894080"/>
                          <wp:effectExtent l="0" t="0" r="9525" b="1270"/>
                          <wp:docPr id="21" name="Figura1" descr="Desenho de personagem de desenho animad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Figura1" descr="Desenho de personagem de desenho animado&#10;&#10;Descrição gerada automa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894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C7AC3">
      <w:rPr>
        <w:rFonts w:ascii="Arial" w:hAnsi="Arial" w:cs="Arial"/>
        <w:b/>
      </w:rPr>
      <w:t>Universidade Federal do Amapá – UNIFAP</w:t>
    </w:r>
  </w:p>
  <w:p w14:paraId="11786204" w14:textId="33F03B05" w:rsidR="000C7AC3" w:rsidRDefault="000C7AC3" w:rsidP="000C7AC3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Pesquisa e Pós-graduação – PROPESPG</w:t>
    </w:r>
  </w:p>
  <w:p w14:paraId="5254E820" w14:textId="77777777" w:rsidR="000C7AC3" w:rsidRDefault="000C7AC3" w:rsidP="000C7AC3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Departamento de Pós-Graduação - DPG</w:t>
    </w:r>
  </w:p>
  <w:p w14:paraId="1E5A0811" w14:textId="77777777" w:rsidR="000C7AC3" w:rsidRDefault="000C7AC3" w:rsidP="000C7AC3">
    <w:pPr>
      <w:pStyle w:val="SemEspaamento"/>
      <w:pBdr>
        <w:bottom w:val="single" w:sz="12" w:space="1" w:color="000001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Programa de Pós-Graduação em Ciências Ambientais - PPGCA</w:t>
    </w:r>
  </w:p>
  <w:p w14:paraId="26932E9D" w14:textId="77777777" w:rsidR="000C7AC3" w:rsidRDefault="000C7A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2410" w14:textId="77777777" w:rsidR="007348CA" w:rsidRDefault="007348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CB7"/>
    <w:multiLevelType w:val="hybridMultilevel"/>
    <w:tmpl w:val="3274D1A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C141D"/>
    <w:multiLevelType w:val="hybridMultilevel"/>
    <w:tmpl w:val="8B80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1EA8"/>
    <w:multiLevelType w:val="hybridMultilevel"/>
    <w:tmpl w:val="B3A40BEA"/>
    <w:lvl w:ilvl="0" w:tplc="6534E5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319"/>
    <w:multiLevelType w:val="hybridMultilevel"/>
    <w:tmpl w:val="9022D1D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75000"/>
    <w:multiLevelType w:val="hybridMultilevel"/>
    <w:tmpl w:val="34CCC4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A1E"/>
    <w:multiLevelType w:val="hybridMultilevel"/>
    <w:tmpl w:val="B86C8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5C7"/>
    <w:multiLevelType w:val="hybridMultilevel"/>
    <w:tmpl w:val="BE7C4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FA3"/>
    <w:multiLevelType w:val="hybridMultilevel"/>
    <w:tmpl w:val="A22E6BA2"/>
    <w:lvl w:ilvl="0" w:tplc="C20A9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8F1170"/>
    <w:multiLevelType w:val="hybridMultilevel"/>
    <w:tmpl w:val="5FE40276"/>
    <w:lvl w:ilvl="0" w:tplc="BC3E300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6E67"/>
    <w:multiLevelType w:val="hybridMultilevel"/>
    <w:tmpl w:val="5CE07F5C"/>
    <w:lvl w:ilvl="0" w:tplc="CF7C4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58F0"/>
    <w:multiLevelType w:val="hybridMultilevel"/>
    <w:tmpl w:val="7CDA3A12"/>
    <w:lvl w:ilvl="0" w:tplc="BC3E300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2E71"/>
    <w:multiLevelType w:val="hybridMultilevel"/>
    <w:tmpl w:val="E65AB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82BC8"/>
    <w:multiLevelType w:val="hybridMultilevel"/>
    <w:tmpl w:val="27D21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6C27"/>
    <w:multiLevelType w:val="hybridMultilevel"/>
    <w:tmpl w:val="A41EA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52"/>
    <w:rsid w:val="00023767"/>
    <w:rsid w:val="00076377"/>
    <w:rsid w:val="000A1D09"/>
    <w:rsid w:val="000B047F"/>
    <w:rsid w:val="000B7252"/>
    <w:rsid w:val="000C7AC3"/>
    <w:rsid w:val="000F12C3"/>
    <w:rsid w:val="001635E7"/>
    <w:rsid w:val="002507E7"/>
    <w:rsid w:val="00256EA1"/>
    <w:rsid w:val="0028786F"/>
    <w:rsid w:val="00314C88"/>
    <w:rsid w:val="00326F59"/>
    <w:rsid w:val="003D1408"/>
    <w:rsid w:val="006A4404"/>
    <w:rsid w:val="006E6552"/>
    <w:rsid w:val="007348CA"/>
    <w:rsid w:val="007601DC"/>
    <w:rsid w:val="007C304E"/>
    <w:rsid w:val="008466FA"/>
    <w:rsid w:val="00870028"/>
    <w:rsid w:val="008B5AD6"/>
    <w:rsid w:val="008E0B2E"/>
    <w:rsid w:val="008E6E1A"/>
    <w:rsid w:val="00920296"/>
    <w:rsid w:val="009D6031"/>
    <w:rsid w:val="00A322FC"/>
    <w:rsid w:val="00A444E8"/>
    <w:rsid w:val="00AF268F"/>
    <w:rsid w:val="00BF0398"/>
    <w:rsid w:val="00CD61D2"/>
    <w:rsid w:val="00D5657F"/>
    <w:rsid w:val="00DE3581"/>
    <w:rsid w:val="00E21528"/>
    <w:rsid w:val="00FE53DA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A72D11"/>
  <w15:chartTrackingRefBased/>
  <w15:docId w15:val="{AE0B9904-D6D1-4E05-A0B8-FE840A2A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65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65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39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A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7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AC3"/>
  </w:style>
  <w:style w:type="paragraph" w:styleId="Rodap">
    <w:name w:val="footer"/>
    <w:basedOn w:val="Normal"/>
    <w:link w:val="RodapChar"/>
    <w:uiPriority w:val="99"/>
    <w:unhideWhenUsed/>
    <w:rsid w:val="000C7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AC3"/>
  </w:style>
  <w:style w:type="paragraph" w:styleId="SemEspaamento">
    <w:name w:val="No Spacing"/>
    <w:qFormat/>
    <w:rsid w:val="000C7AC3"/>
    <w:pPr>
      <w:suppressAutoHyphens/>
      <w:spacing w:after="0" w:line="240" w:lineRule="auto"/>
    </w:pPr>
    <w:rPr>
      <w:rFonts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1/2020.05.15.09768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1305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Florentino</dc:creator>
  <cp:keywords/>
  <dc:description/>
  <cp:lastModifiedBy>LIGEN UNIFAP</cp:lastModifiedBy>
  <cp:revision>29</cp:revision>
  <dcterms:created xsi:type="dcterms:W3CDTF">2021-05-21T14:56:00Z</dcterms:created>
  <dcterms:modified xsi:type="dcterms:W3CDTF">2022-03-29T18:18:00Z</dcterms:modified>
</cp:coreProperties>
</file>